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72A" w:rsidRPr="00EE172A" w:rsidRDefault="00EE172A" w:rsidP="00EE172A">
      <w:pPr>
        <w:tabs>
          <w:tab w:val="left" w:pos="993"/>
        </w:tabs>
        <w:spacing w:after="0" w:line="240" w:lineRule="auto"/>
        <w:jc w:val="both"/>
        <w:outlineLvl w:val="0"/>
        <w:rPr>
          <w:rFonts w:eastAsia="Times New Roman" w:cs="Times New Roman"/>
          <w:szCs w:val="28"/>
          <w:u w:color="000000"/>
          <w:bdr w:val="none" w:sz="0" w:space="0" w:color="auto" w:frame="1"/>
        </w:rPr>
      </w:pPr>
      <w:bookmarkStart w:id="0" w:name="_Toc146465099"/>
      <w:bookmarkStart w:id="1" w:name="_Toc151380133"/>
      <w:r w:rsidRPr="00EE172A">
        <w:rPr>
          <w:rFonts w:eastAsia="Times New Roman" w:cs="Times New Roman"/>
          <w:b/>
          <w:sz w:val="24"/>
          <w:szCs w:val="24"/>
          <w:u w:color="000000"/>
        </w:rPr>
        <w:t>VĂN PHÒNG CHÍNH PHỦ NƯỚC CHXHCNVN</w:t>
      </w:r>
      <w:r w:rsidRPr="00EE172A">
        <w:rPr>
          <w:rFonts w:eastAsia="Times New Roman" w:cs="Times New Roman"/>
          <w:sz w:val="24"/>
          <w:szCs w:val="24"/>
          <w:u w:color="000000"/>
        </w:rPr>
        <w:t xml:space="preserve">, </w:t>
      </w:r>
      <w:r w:rsidRPr="00EE172A">
        <w:rPr>
          <w:rFonts w:eastAsia="Times New Roman" w:cs="Times New Roman"/>
          <w:szCs w:val="28"/>
          <w:u w:color="000000"/>
          <w:bdr w:val="none" w:sz="0" w:space="0" w:color="auto" w:frame="1"/>
        </w:rPr>
        <w:t>cơ quan ngang bộ của Chính phủ, bộ máy giúp việc của Chính phủ và Thủ tướng Chính phủ.</w:t>
      </w:r>
      <w:bookmarkEnd w:id="0"/>
      <w:bookmarkEnd w:id="1"/>
      <w:r w:rsidRPr="00EE172A">
        <w:rPr>
          <w:rFonts w:eastAsia="Times New Roman" w:cs="Times New Roman"/>
          <w:szCs w:val="28"/>
          <w:u w:color="000000"/>
          <w:bdr w:val="none" w:sz="0" w:space="0" w:color="auto" w:frame="1"/>
        </w:rPr>
        <w:t xml:space="preserve">  </w:t>
      </w:r>
    </w:p>
    <w:p w:rsidR="00EE172A" w:rsidRPr="00EE172A" w:rsidRDefault="00EE172A" w:rsidP="00EE172A">
      <w:pPr>
        <w:spacing w:after="0" w:line="240" w:lineRule="auto"/>
        <w:ind w:firstLine="741"/>
        <w:jc w:val="both"/>
        <w:rPr>
          <w:rFonts w:eastAsia="Calibri" w:cs="Times New Roman"/>
          <w:szCs w:val="28"/>
          <w:u w:color="000000"/>
          <w:bdr w:val="none" w:sz="0" w:space="0" w:color="auto" w:frame="1"/>
        </w:rPr>
      </w:pPr>
      <w:r w:rsidRPr="00EE172A">
        <w:rPr>
          <w:rFonts w:eastAsia="Times New Roman" w:cs="Times New Roman"/>
          <w:szCs w:val="28"/>
          <w:u w:color="000000"/>
          <w:bdr w:val="none" w:sz="0" w:space="0" w:color="auto" w:frame="1"/>
        </w:rPr>
        <w:t xml:space="preserve">VPCP </w:t>
      </w:r>
      <w:r w:rsidRPr="00EE172A">
        <w:rPr>
          <w:rFonts w:eastAsia="Arial" w:cs="Times New Roman"/>
          <w:kern w:val="28"/>
          <w:szCs w:val="28"/>
          <w:u w:color="000000"/>
        </w:rPr>
        <w:t>có chức năng</w:t>
      </w:r>
      <w:r w:rsidRPr="00EE172A">
        <w:rPr>
          <w:rFonts w:eastAsia="Calibri" w:cs="Times New Roman"/>
          <w:szCs w:val="28"/>
          <w:u w:color="000000"/>
        </w:rPr>
        <w:t xml:space="preserve">: </w:t>
      </w:r>
      <w:r w:rsidRPr="00EE172A">
        <w:rPr>
          <w:rFonts w:eastAsia="Arial" w:cs="Times New Roman"/>
          <w:kern w:val="28"/>
          <w:szCs w:val="28"/>
          <w:u w:color="000000"/>
        </w:rPr>
        <w:t>tham mưu tổng hợp, điều phối giúp Chính phủ, Thủ tướng Chính phủ (bao gồm các Phó Thủ tướng Chính phủ) tổ chức các hoạt động chung của Chính phủ, lãnh đạo, chỉ đạo, điều hành hoạt động của Chính phủ và hệ thống hành chính nhà nước từ trung ương đến cơ sở, bảo đảm thống nhất, thông suốt, liên tục của nền hành chính quốc gia; kiểm soát thủ tục hành chính; bảo đảm thông tin phục vụ công tác lãnh đạo, chỉ đạo, điều hành của Chính phủ, Thủ tướng Chính phủ và cung cấp thông tin cho công chúng theo quy định của pháp luật; bảo đảm điều kiện vật chất, kỹ thuật, hậu cần cho hoạt động của Chính phủ, Thủ tướng Chính phủ</w:t>
      </w:r>
      <w:r w:rsidRPr="00EE172A">
        <w:rPr>
          <w:rFonts w:eastAsia="Calibri" w:cs="Times New Roman"/>
          <w:szCs w:val="28"/>
          <w:u w:color="000000"/>
        </w:rPr>
        <w:t>.</w:t>
      </w:r>
      <w:r w:rsidRPr="00EE172A" w:rsidDel="00FE73BD">
        <w:rPr>
          <w:rFonts w:eastAsia="Times New Roman" w:cs="Times New Roman"/>
          <w:szCs w:val="28"/>
          <w:u w:color="000000"/>
          <w:bdr w:val="none" w:sz="0" w:space="0" w:color="auto" w:frame="1"/>
        </w:rPr>
        <w:t xml:space="preserve"> </w:t>
      </w:r>
    </w:p>
    <w:p w:rsidR="00EE172A" w:rsidRPr="00EE172A" w:rsidRDefault="00EE172A" w:rsidP="00EE172A">
      <w:pPr>
        <w:spacing w:after="0" w:line="240" w:lineRule="auto"/>
        <w:ind w:firstLine="741"/>
        <w:jc w:val="both"/>
        <w:rPr>
          <w:rFonts w:eastAsia="Calibri" w:cs="Times New Roman"/>
          <w:szCs w:val="28"/>
          <w:u w:color="000000"/>
          <w:bdr w:val="none" w:sz="0" w:space="0" w:color="auto" w:frame="1"/>
          <w:lang w:val="de-DE"/>
        </w:rPr>
      </w:pPr>
      <w:r w:rsidRPr="00EE172A">
        <w:rPr>
          <w:rFonts w:eastAsia="Arial" w:cs="Times New Roman"/>
          <w:bCs/>
          <w:kern w:val="28"/>
          <w:szCs w:val="28"/>
          <w:u w:color="000000"/>
          <w:bdr w:val="none" w:sz="0" w:space="0" w:color="auto" w:frame="1"/>
          <w:lang w:val="de-DE"/>
        </w:rPr>
        <w:t xml:space="preserve">VPCP có các nhiệm vụ và quyền hạn: </w:t>
      </w:r>
      <w:r w:rsidRPr="00EE172A">
        <w:rPr>
          <w:rFonts w:eastAsia="Calibri" w:cs="Times New Roman"/>
          <w:szCs w:val="28"/>
          <w:u w:color="000000"/>
          <w:bdr w:val="none" w:sz="0" w:space="0" w:color="auto" w:frame="1"/>
          <w:lang w:val="de-DE"/>
        </w:rPr>
        <w:t>1)</w:t>
      </w:r>
      <w:r w:rsidRPr="00EE172A">
        <w:rPr>
          <w:rFonts w:eastAsia="Arial" w:cs="Times New Roman"/>
          <w:kern w:val="28"/>
          <w:szCs w:val="28"/>
          <w:u w:color="000000"/>
          <w:bdr w:val="none" w:sz="0" w:space="0" w:color="auto" w:frame="1"/>
          <w:lang w:val="de-DE"/>
        </w:rPr>
        <w:t xml:space="preserve"> Tham mưu tổng hợp, điều phối giúp Chính phủ theo chức năng, nhiệm vụ, thẩm quyền được giao</w:t>
      </w:r>
      <w:r w:rsidRPr="00EE172A">
        <w:rPr>
          <w:rFonts w:eastAsia="Arial" w:cs="Times New Roman"/>
          <w:kern w:val="28"/>
          <w:szCs w:val="28"/>
          <w:u w:color="000000"/>
        </w:rPr>
        <w:t xml:space="preserve">; </w:t>
      </w:r>
      <w:r w:rsidRPr="00EE172A">
        <w:rPr>
          <w:rFonts w:eastAsia="Calibri" w:cs="Times New Roman"/>
          <w:szCs w:val="28"/>
          <w:u w:color="000000"/>
          <w:bdr w:val="none" w:sz="0" w:space="0" w:color="auto" w:frame="1"/>
          <w:lang w:val="de-DE"/>
        </w:rPr>
        <w:t>2)</w:t>
      </w:r>
      <w:r w:rsidRPr="00EE172A">
        <w:rPr>
          <w:rFonts w:eastAsia="Arial" w:cs="Times New Roman"/>
          <w:kern w:val="28"/>
          <w:szCs w:val="28"/>
          <w:u w:color="000000"/>
          <w:bdr w:val="none" w:sz="0" w:space="0" w:color="auto" w:frame="1"/>
          <w:lang w:val="de-DE"/>
        </w:rPr>
        <w:t xml:space="preserve"> Tham mưu tổng hợp, điều phối giúp Thủ tướng Chính phủ theo chức năng, nhiệm vụ, thẩm quyền đượ</w:t>
      </w:r>
      <w:r w:rsidRPr="00EE172A">
        <w:rPr>
          <w:rFonts w:eastAsia="Calibri" w:cs="Times New Roman"/>
          <w:szCs w:val="28"/>
          <w:u w:color="000000"/>
          <w:bdr w:val="none" w:sz="0" w:space="0" w:color="auto" w:frame="1"/>
          <w:lang w:val="de-DE"/>
        </w:rPr>
        <w:t>c giao; 3)</w:t>
      </w:r>
      <w:r w:rsidRPr="00EE172A">
        <w:rPr>
          <w:rFonts w:eastAsia="Arial" w:cs="Times New Roman"/>
          <w:kern w:val="28"/>
          <w:szCs w:val="28"/>
          <w:u w:color="000000"/>
          <w:bdr w:val="none" w:sz="0" w:space="0" w:color="auto" w:frame="1"/>
          <w:lang w:val="de-DE"/>
        </w:rPr>
        <w:t> </w:t>
      </w:r>
      <w:r w:rsidRPr="00EE172A">
        <w:rPr>
          <w:rFonts w:eastAsia="Calibri" w:cs="Times New Roman"/>
          <w:szCs w:val="28"/>
          <w:u w:color="000000"/>
          <w:bdr w:val="none" w:sz="0" w:space="0" w:color="auto" w:frame="1"/>
          <w:lang w:val="de-DE"/>
        </w:rPr>
        <w:t>K</w:t>
      </w:r>
      <w:r w:rsidRPr="00EE172A">
        <w:rPr>
          <w:rFonts w:eastAsia="Arial" w:cs="Times New Roman"/>
          <w:kern w:val="28"/>
          <w:szCs w:val="28"/>
          <w:u w:color="000000"/>
          <w:bdr w:val="none" w:sz="0" w:space="0" w:color="auto" w:frame="1"/>
          <w:lang w:val="de-DE"/>
        </w:rPr>
        <w:t xml:space="preserve">iểm soát thủ tục hành chính; </w:t>
      </w:r>
      <w:r w:rsidRPr="00EE172A">
        <w:rPr>
          <w:rFonts w:eastAsia="Arial" w:cs="Times New Roman"/>
          <w:kern w:val="28"/>
          <w:szCs w:val="28"/>
          <w:u w:color="000000"/>
        </w:rPr>
        <w:t xml:space="preserve">4) </w:t>
      </w:r>
      <w:r w:rsidRPr="00EE172A">
        <w:rPr>
          <w:rFonts w:eastAsia="Calibri" w:cs="Times New Roman"/>
          <w:szCs w:val="28"/>
          <w:u w:color="000000"/>
        </w:rPr>
        <w:t>B</w:t>
      </w:r>
      <w:r w:rsidRPr="00EE172A">
        <w:rPr>
          <w:rFonts w:eastAsia="Arial" w:cs="Times New Roman"/>
          <w:kern w:val="28"/>
          <w:szCs w:val="28"/>
          <w:u w:color="000000"/>
        </w:rPr>
        <w:t xml:space="preserve">ảo đảm thông tin phục vụ công tác lãnh đạo, chỉ đạo, điều hành của Chính phủ, Thủ tướng Chính phủ; 5) </w:t>
      </w:r>
      <w:r w:rsidRPr="00EE172A">
        <w:rPr>
          <w:rFonts w:eastAsia="Calibri" w:cs="Times New Roman"/>
          <w:szCs w:val="28"/>
          <w:u w:color="000000"/>
        </w:rPr>
        <w:t>C</w:t>
      </w:r>
      <w:r w:rsidRPr="00EE172A">
        <w:rPr>
          <w:rFonts w:eastAsia="Arial" w:cs="Times New Roman"/>
          <w:kern w:val="28"/>
          <w:szCs w:val="28"/>
          <w:u w:color="000000"/>
        </w:rPr>
        <w:t>ung cấp thông tin cho công chúng; 6) Bảo đảm điều kiện vật chất, kỹ thuật, hậu cần cho hoạt động của Chính phủ, Thủ tướng Chính phủ;</w:t>
      </w:r>
      <w:r w:rsidRPr="00EE172A">
        <w:rPr>
          <w:rFonts w:eastAsia="Arial" w:cs="Times New Roman"/>
          <w:kern w:val="28"/>
          <w:szCs w:val="28"/>
          <w:u w:color="000000"/>
          <w:shd w:val="clear" w:color="auto" w:fill="FFFFFF"/>
        </w:rPr>
        <w:t xml:space="preserve"> 7) Xây dựng, ban hành các văn bản quy phạm pháp luật và các văn bản khác thuộc thẩm quyền của Văn phòng Chính phủ theo quy định của pháp luật; 8) Thực hiện nhiệm vụ kiểm tra văn bản và xử lý đối với các văn bản trái pháp luật theo thẩm quyền, quy định của pháp luật; 9) Tổ chức tiếp nhận, xử lý các văn bản do các bộ, ngành, Ủy ban nhân dân cấp tỉnh, các cơ quan, tổ chức, cá nhân liên quan trình Chính phủ, Thủ tướng Chính phủ; phát hành và quản lý các văn bản của Chính phủ, Thủ tướng Chính phủ; xây dựng, quản lý, vận hành hệ thống lưu trữ tài liệu điện tử tại Văn phòng Chính phủ theo quy định của pháp luật; 10) Thực hiện công tác thanh tra, kiểm tra; tiếp công dân, giải quyết khiếu nại, tố cáo; phòng, chống tham nhũng, thực hành tiết kiệm, chống lãng phí theo quy định của pháp luật; 11) Tổng kết, hướng dẫn chuyên môn, nghiệp vụ công tác văn phòng đối với Văn phòng các bộ, ngành, Văn phòng Ủy ban nhân dân cấp tỉnh; 12) </w:t>
      </w:r>
      <w:r w:rsidRPr="00EE172A">
        <w:rPr>
          <w:rFonts w:eastAsia="Calibri" w:cs="Times New Roman"/>
          <w:szCs w:val="28"/>
          <w:u w:color="000000"/>
          <w:shd w:val="clear" w:color="auto" w:fill="FFFFFF"/>
        </w:rPr>
        <w:t>C</w:t>
      </w:r>
      <w:r w:rsidRPr="00EE172A">
        <w:rPr>
          <w:rFonts w:eastAsia="Arial" w:cs="Times New Roman"/>
          <w:kern w:val="28"/>
          <w:szCs w:val="28"/>
          <w:u w:color="000000"/>
          <w:shd w:val="clear" w:color="auto" w:fill="FFFFFF"/>
        </w:rPr>
        <w:t>ông chức,</w:t>
      </w:r>
      <w:r w:rsidRPr="00EE172A">
        <w:rPr>
          <w:rFonts w:eastAsia="Arial" w:cs="Times New Roman"/>
          <w:kern w:val="28"/>
          <w:szCs w:val="28"/>
          <w:u w:color="000000"/>
        </w:rPr>
        <w:t xml:space="preserve"> được điều động, luân chuyển, biệt phái ở các bộ, ngành, cơ quan, địa phương về làm việc tại Văn phòng Chính phủ và từ Văn phòng Chính phủ đến làm việc tại các bộ, ngành, cơ quan, địa phương theo thẩm quyền, quy định của Thủ tướng Chính phủ và pháp luật;</w:t>
      </w:r>
      <w:r w:rsidRPr="00EE172A">
        <w:rPr>
          <w:rFonts w:eastAsia="Arial" w:cs="Times New Roman"/>
          <w:kern w:val="28"/>
          <w:szCs w:val="28"/>
          <w:u w:color="000000"/>
          <w:shd w:val="clear" w:color="auto" w:fill="FFFFFF"/>
        </w:rPr>
        <w:t xml:space="preserve"> 13) Quản lý tổ chức bộ máy, biên chế công chức, số lượng người làm việc, vị trí việc làm; quyết định tuyển dụng, sử dụng, quản lý và thực hiện chế độ, chính sách khác đối với cán bộ, công chức, viên chức thuộc thẩm quyền quản lý theo quy định; 14) Quyết định và chỉ đạo thực hiện chương trình cải cách hành chính, chuyển đổi số thuộc thẩm quyền theo mục tiêu và nội dung, chương trình tổng thể cải cách hành chính nhà nước; 15) Quản lý tài chính, tài sản và các nguồn lực khác được giao; quản lý hoạt động nghiên cứu khoa học; thực hiện hợp tác quốc tế theo quy định của pháp luật; 16) Thực hiện các nhiệm vụ, quyền hạn khác do Chính phủ, Thủ tướng Chính phủ giao hoặc theo quy định của pháp luật.</w:t>
      </w:r>
    </w:p>
    <w:p w:rsidR="00EE172A" w:rsidRPr="00EE172A" w:rsidRDefault="00EE172A" w:rsidP="00EE172A">
      <w:pPr>
        <w:spacing w:after="0" w:line="240" w:lineRule="auto"/>
        <w:ind w:firstLine="680"/>
        <w:jc w:val="both"/>
        <w:rPr>
          <w:rFonts w:eastAsia="Times New Roman" w:cs="Times New Roman"/>
          <w:szCs w:val="28"/>
          <w:u w:color="000000"/>
          <w:lang w:val="de-DE"/>
        </w:rPr>
      </w:pPr>
      <w:r w:rsidRPr="00EE172A">
        <w:rPr>
          <w:rFonts w:eastAsia="Times New Roman" w:cs="Times New Roman"/>
          <w:szCs w:val="28"/>
          <w:u w:color="000000"/>
          <w:bdr w:val="none" w:sz="0" w:space="0" w:color="auto" w:frame="1"/>
          <w:lang w:val="de-DE"/>
        </w:rPr>
        <w:t xml:space="preserve">         Về tổ chức bộ máy</w:t>
      </w:r>
      <w:r w:rsidRPr="00EE172A">
        <w:rPr>
          <w:rFonts w:eastAsia="Times New Roman" w:cs="Times New Roman"/>
          <w:bCs/>
          <w:szCs w:val="28"/>
          <w:u w:color="000000"/>
          <w:bdr w:val="none" w:sz="0" w:space="0" w:color="auto" w:frame="1"/>
          <w:lang w:val="de-DE"/>
        </w:rPr>
        <w:t xml:space="preserve">, </w:t>
      </w:r>
      <w:r w:rsidRPr="00EE172A">
        <w:rPr>
          <w:rFonts w:eastAsia="Times New Roman" w:cs="Times New Roman"/>
          <w:bCs/>
          <w:szCs w:val="28"/>
          <w:u w:color="000000"/>
          <w:lang w:val="de-DE"/>
        </w:rPr>
        <w:t xml:space="preserve">theo Nghị định số 79/2022/NĐ-CP ngày 06.10.2022, gồm có: </w:t>
      </w:r>
      <w:r w:rsidRPr="00EE172A">
        <w:rPr>
          <w:rFonts w:eastAsia="Times New Roman" w:cs="Times New Roman"/>
          <w:szCs w:val="28"/>
          <w:u w:color="000000"/>
          <w:shd w:val="clear" w:color="auto" w:fill="FFFFFF"/>
          <w:lang w:val="de-DE" w:eastAsia="vi-VN"/>
        </w:rPr>
        <w:t xml:space="preserve">1) Vụ Tổng hợp; 2) Vụ Pháp luật; 3) Vụ Kinh tế tổng hợp; 4) Vụ Công nghiệp; 5) Vụ Nông nghiệp; 6) Vụ Khoa giáo - Văn xã; 7) Vụ Đổi </w:t>
      </w:r>
      <w:r w:rsidRPr="00EE172A">
        <w:rPr>
          <w:rFonts w:eastAsia="Times New Roman" w:cs="Times New Roman"/>
          <w:szCs w:val="28"/>
          <w:u w:color="000000"/>
          <w:shd w:val="clear" w:color="auto" w:fill="FFFFFF"/>
          <w:lang w:val="de-DE" w:eastAsia="vi-VN"/>
        </w:rPr>
        <w:lastRenderedPageBreak/>
        <w:t>mới doanh nghiệp; 8) Vụ Quan hệ quốc tế; 9) Vụ Nội chính; 10) Vụ Tổ chức hà</w:t>
      </w:r>
      <w:r w:rsidRPr="00EE172A">
        <w:rPr>
          <w:rFonts w:eastAsia="Times New Roman" w:cs="Times New Roman"/>
          <w:spacing w:val="-6"/>
          <w:szCs w:val="28"/>
          <w:u w:color="000000"/>
          <w:shd w:val="clear" w:color="auto" w:fill="FFFFFF"/>
          <w:lang w:val="de-DE" w:eastAsia="vi-VN"/>
        </w:rPr>
        <w:t>nh chính nhà nước và Công vụ; 11) Vụ Theo dõi công tác thanh tra; giải quyết khiếu nại, tố cáo; phòng, chống tham nhũng, buôn lậu, gian lận thương mại và hàng giả (gọi tắt là Vụ I); 12) Vụ Công tác Quốc hội, Địa phương và Đoàn thể; 13) Vụ Thư ký - Biên tập; 14) Vụ Hành chính; 15) Vụ Tổ chức cán bộ; 16) Vụ Kế hoạch tài chính; 17) Cục Kiểm soát thủ tục hành chính; 18) Cục Quản trị; 19) Cục Hành chính - Quản trị II; 20) Cổng Thông tin điện tử Chính phủ.</w:t>
      </w:r>
    </w:p>
    <w:p w:rsidR="00EE172A" w:rsidRPr="00EE172A" w:rsidRDefault="00EE172A" w:rsidP="00EE172A">
      <w:pPr>
        <w:widowControl w:val="0"/>
        <w:shd w:val="clear" w:color="auto" w:fill="FFFFFF"/>
        <w:spacing w:after="0" w:line="240" w:lineRule="auto"/>
        <w:ind w:firstLine="720"/>
        <w:jc w:val="both"/>
        <w:textAlignment w:val="baseline"/>
        <w:rPr>
          <w:rFonts w:eastAsia="Times New Roman" w:cs="Times New Roman"/>
          <w:szCs w:val="28"/>
          <w:u w:color="000000"/>
          <w:bdr w:val="none" w:sz="0" w:space="0" w:color="auto" w:frame="1"/>
          <w:lang w:val="de-DE"/>
        </w:rPr>
      </w:pPr>
      <w:r w:rsidRPr="00EE172A">
        <w:rPr>
          <w:rFonts w:eastAsia="Calibri" w:cs="Times New Roman"/>
          <w:szCs w:val="28"/>
          <w:u w:color="000000"/>
          <w:lang w:val="de-DE"/>
        </w:rPr>
        <w:t>28.8.1945 (ngày Chính phủ Lâm thời ra tuyên cáo về việc Uỷ ban Dân tộc Giải phóng tự cải tổ thành Chính phủ Lâm thời Việt Nam Dân chủ Cộng hòa</w:t>
      </w:r>
      <w:r w:rsidRPr="00EE172A">
        <w:rPr>
          <w:rFonts w:eastAsia="Times New Roman" w:cs="Times New Roman"/>
          <w:szCs w:val="28"/>
          <w:u w:color="000000"/>
          <w:bdr w:val="none" w:sz="0" w:space="0" w:color="auto" w:frame="1"/>
          <w:lang w:val="de-DE"/>
        </w:rPr>
        <w:t xml:space="preserve">) là ngày đánh dấu sự ra đời của bộ máy Văn phòng giúp việc Chính phủ nước Việt Nam Dân chủ Cộng hòa, với tên gọi “Văn phòng Chủ tịch Chính phủ”, sau đó nhiều lần được đổi tên:  Văn phòng Thủ tướng phủ (1949); phủ Thủ tướng (1960); Văn phòng Phủ Thủ tướng (1972); Văn phòng Hội đồng bộ trưởng (1981); </w:t>
      </w:r>
      <w:r w:rsidRPr="00EE172A">
        <w:rPr>
          <w:rFonts w:eastAsia="Times New Roman" w:cs="Times New Roman"/>
          <w:szCs w:val="28"/>
          <w:u w:color="000000"/>
          <w:lang w:val="de-DE"/>
        </w:rPr>
        <w:t>VPCP (1992).</w:t>
      </w:r>
    </w:p>
    <w:p w:rsidR="00EE172A" w:rsidRPr="00EE172A" w:rsidRDefault="00EE172A" w:rsidP="00EE172A">
      <w:pPr>
        <w:widowControl w:val="0"/>
        <w:shd w:val="clear" w:color="auto" w:fill="FFFFFF"/>
        <w:spacing w:after="0" w:line="240" w:lineRule="auto"/>
        <w:ind w:firstLine="720"/>
        <w:jc w:val="both"/>
        <w:textAlignment w:val="baseline"/>
        <w:rPr>
          <w:rFonts w:eastAsia="Times New Roman" w:cs="Times New Roman"/>
          <w:sz w:val="26"/>
          <w:szCs w:val="26"/>
          <w:u w:color="000000"/>
          <w:lang w:val="de-DE"/>
        </w:rPr>
      </w:pPr>
      <w:r w:rsidRPr="00EE172A">
        <w:rPr>
          <w:rFonts w:eastAsia="Times New Roman" w:cs="Times New Roman"/>
          <w:szCs w:val="28"/>
          <w:u w:color="000000"/>
          <w:lang w:val="de-DE"/>
        </w:rPr>
        <w:t>VPCP được tặng thưởng Huân chương Hồ Chí Minh (2001) và Huân chương Sao Vàng (2005).</w:t>
      </w:r>
    </w:p>
    <w:p w:rsidR="00EE172A" w:rsidRPr="00EE172A" w:rsidRDefault="00EE172A" w:rsidP="00EE172A">
      <w:pPr>
        <w:widowControl w:val="0"/>
        <w:shd w:val="clear" w:color="auto" w:fill="FFFFFF"/>
        <w:spacing w:after="0" w:line="240" w:lineRule="auto"/>
        <w:ind w:firstLine="720"/>
        <w:jc w:val="right"/>
        <w:textAlignment w:val="baseline"/>
        <w:rPr>
          <w:rFonts w:eastAsia="Times New Roman" w:cs="Times New Roman"/>
          <w:b/>
          <w:sz w:val="22"/>
          <w:u w:color="000000"/>
          <w:lang w:val="de-DE"/>
        </w:rPr>
      </w:pPr>
      <w:r w:rsidRPr="00EE172A">
        <w:rPr>
          <w:rFonts w:eastAsia="Times New Roman" w:cs="Times New Roman"/>
          <w:b/>
          <w:sz w:val="22"/>
          <w:u w:color="000000"/>
          <w:lang w:val="de-DE"/>
        </w:rPr>
        <w:t xml:space="preserve"> TRẦN QUỐC TOẢN</w:t>
      </w:r>
    </w:p>
    <w:p w:rsidR="00EE172A" w:rsidRPr="00EE172A" w:rsidRDefault="00EE172A" w:rsidP="00EE172A">
      <w:pPr>
        <w:widowControl w:val="0"/>
        <w:shd w:val="clear" w:color="auto" w:fill="FFFFFF"/>
        <w:spacing w:after="0" w:line="240" w:lineRule="auto"/>
        <w:jc w:val="both"/>
        <w:textAlignment w:val="baseline"/>
        <w:rPr>
          <w:rFonts w:eastAsia="Times New Roman" w:cs="Times New Roman"/>
          <w:sz w:val="24"/>
          <w:szCs w:val="24"/>
          <w:u w:color="000000"/>
          <w:lang w:val="de-DE"/>
        </w:rPr>
      </w:pPr>
      <w:r w:rsidRPr="00EE172A">
        <w:rPr>
          <w:rFonts w:eastAsia="Times New Roman" w:cs="Times New Roman"/>
          <w:b/>
          <w:sz w:val="24"/>
          <w:szCs w:val="24"/>
          <w:u w:color="000000"/>
          <w:lang w:val="de-DE"/>
        </w:rPr>
        <w:t xml:space="preserve">Tài liệu tham khảo: </w:t>
      </w:r>
    </w:p>
    <w:p w:rsidR="00EE172A" w:rsidRPr="00EE172A" w:rsidRDefault="00EE172A" w:rsidP="00EE172A">
      <w:pPr>
        <w:widowControl w:val="0"/>
        <w:shd w:val="clear" w:color="auto" w:fill="FFFFFF"/>
        <w:tabs>
          <w:tab w:val="left" w:pos="1701"/>
        </w:tabs>
        <w:spacing w:after="0" w:line="240" w:lineRule="auto"/>
        <w:jc w:val="both"/>
        <w:textAlignment w:val="baseline"/>
        <w:rPr>
          <w:rFonts w:eastAsia="Times New Roman" w:cs="Times New Roman"/>
          <w:sz w:val="24"/>
          <w:szCs w:val="24"/>
          <w:u w:color="000000"/>
          <w:lang w:val="vi-VN"/>
        </w:rPr>
      </w:pPr>
      <w:r w:rsidRPr="00EE172A">
        <w:rPr>
          <w:rFonts w:eastAsia="Times New Roman" w:cs="Times New Roman"/>
          <w:sz w:val="24"/>
          <w:szCs w:val="24"/>
          <w:u w:color="000000"/>
          <w:lang w:val="vi-VN"/>
        </w:rPr>
        <w:t xml:space="preserve">1. Văn phòng Chính phủ, </w:t>
      </w:r>
      <w:r w:rsidRPr="00EE172A">
        <w:rPr>
          <w:rFonts w:eastAsia="Times New Roman" w:cs="Times New Roman"/>
          <w:i/>
          <w:sz w:val="24"/>
          <w:szCs w:val="24"/>
          <w:u w:color="000000"/>
          <w:lang w:val="vi-VN"/>
        </w:rPr>
        <w:t>Lịch sử Văn phòng Chính phủ (1945 - 2005)</w:t>
      </w:r>
      <w:r w:rsidRPr="00EE172A">
        <w:rPr>
          <w:rFonts w:eastAsia="Times New Roman" w:cs="Times New Roman"/>
          <w:sz w:val="24"/>
          <w:szCs w:val="24"/>
          <w:u w:color="000000"/>
          <w:lang w:val="vi-VN"/>
        </w:rPr>
        <w:t>, Hà Nội, 2008.</w:t>
      </w:r>
    </w:p>
    <w:p w:rsidR="00EE172A" w:rsidRPr="00EE172A" w:rsidRDefault="00EE172A" w:rsidP="00EE172A">
      <w:pPr>
        <w:widowControl w:val="0"/>
        <w:shd w:val="clear" w:color="auto" w:fill="FFFFFF"/>
        <w:tabs>
          <w:tab w:val="left" w:pos="1701"/>
        </w:tabs>
        <w:spacing w:after="0" w:line="240" w:lineRule="auto"/>
        <w:jc w:val="both"/>
        <w:textAlignment w:val="baseline"/>
        <w:rPr>
          <w:rFonts w:eastAsia="Times New Roman" w:cs="Times New Roman"/>
          <w:sz w:val="24"/>
          <w:szCs w:val="24"/>
          <w:u w:color="000000"/>
          <w:lang w:val="vi-VN"/>
        </w:rPr>
      </w:pPr>
      <w:r w:rsidRPr="00EE172A">
        <w:rPr>
          <w:rFonts w:eastAsia="Times New Roman" w:cs="Times New Roman"/>
          <w:sz w:val="24"/>
          <w:szCs w:val="24"/>
          <w:u w:color="000000"/>
          <w:lang w:val="vi-VN"/>
        </w:rPr>
        <w:t>2. Nghị định số 79/2022/NĐ-CP, ngày 06.10.2022 của Chính phủ quy định chức năng, nhiệm vụ, quyền hạn và cơ cấu tổ chức của Văn phòng Chính phủ.</w:t>
      </w:r>
    </w:p>
    <w:p w:rsidR="00EE172A" w:rsidRPr="00EE172A" w:rsidRDefault="00EE172A" w:rsidP="00EE172A">
      <w:pPr>
        <w:widowControl w:val="0"/>
        <w:shd w:val="clear" w:color="auto" w:fill="FFFFFF"/>
        <w:tabs>
          <w:tab w:val="left" w:pos="1701"/>
        </w:tabs>
        <w:spacing w:after="0" w:line="240" w:lineRule="auto"/>
        <w:jc w:val="both"/>
        <w:textAlignment w:val="baseline"/>
        <w:rPr>
          <w:rFonts w:eastAsia="Times New Roman" w:cs="Times New Roman"/>
          <w:sz w:val="24"/>
          <w:szCs w:val="24"/>
          <w:u w:color="000000"/>
          <w:lang w:val="vi-VN"/>
        </w:rPr>
      </w:pPr>
      <w:r w:rsidRPr="00EE172A">
        <w:rPr>
          <w:rFonts w:eastAsia="Times New Roman" w:cs="Times New Roman"/>
          <w:sz w:val="24"/>
          <w:szCs w:val="24"/>
          <w:u w:color="000000"/>
          <w:lang w:val="vi-VN"/>
        </w:rPr>
        <w:t xml:space="preserve">3. </w:t>
      </w:r>
      <w:r w:rsidRPr="00EE172A">
        <w:rPr>
          <w:rFonts w:eastAsia="Times New Roman" w:cs="Times New Roman"/>
          <w:i/>
          <w:sz w:val="24"/>
          <w:szCs w:val="24"/>
          <w:u w:color="000000"/>
          <w:lang w:val="vi-VN"/>
        </w:rPr>
        <w:t xml:space="preserve">Sách tra cứu các mục từ về tổ chức, </w:t>
      </w:r>
      <w:r w:rsidRPr="00EE172A">
        <w:rPr>
          <w:rFonts w:eastAsia="Times New Roman" w:cs="Times New Roman"/>
          <w:sz w:val="24"/>
          <w:szCs w:val="24"/>
          <w:u w:color="000000"/>
          <w:lang w:val="vi-VN"/>
        </w:rPr>
        <w:t>Nxb. CTQG, 2004.</w:t>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2A"/>
    <w:rsid w:val="002133F0"/>
    <w:rsid w:val="004B574E"/>
    <w:rsid w:val="00775E1E"/>
    <w:rsid w:val="0090568D"/>
    <w:rsid w:val="00B93CAB"/>
    <w:rsid w:val="00EE172A"/>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12809-8FBA-4B83-8CEB-EB30A2C1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2025-12-08T03:55:00Z</dcterms:created>
  <dcterms:modified xsi:type="dcterms:W3CDTF">2025-12-08T03:55:00Z</dcterms:modified>
</cp:coreProperties>
</file>